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新疆画院</w:t>
      </w:r>
      <w:r>
        <w:rPr>
          <w:rFonts w:hint="eastAsia" w:ascii="方正小标宋_GBK" w:hAnsi="宋体" w:eastAsia="方正小标宋_GBK"/>
          <w:sz w:val="44"/>
          <w:szCs w:val="44"/>
          <w:highlight w:val="none"/>
          <w:lang w:eastAsia="zh-CN"/>
        </w:rPr>
        <w:t>20</w:t>
      </w:r>
      <w:r>
        <w:rPr>
          <w:rFonts w:hint="eastAsia" w:ascii="方正小标宋_GBK" w:hAnsi="宋体" w:eastAsia="方正小标宋_GBK"/>
          <w:sz w:val="44"/>
          <w:szCs w:val="44"/>
          <w:highlight w:val="none"/>
          <w:lang w:val="en-US" w:eastAsia="zh-CN"/>
        </w:rPr>
        <w:t>2</w:t>
      </w:r>
      <w:r>
        <w:rPr>
          <w:rFonts w:hint="eastAsia" w:ascii="方正小标宋_GBK" w:hAnsi="宋体" w:eastAsia="方正小标宋_GBK"/>
          <w:sz w:val="44"/>
          <w:szCs w:val="44"/>
          <w:highlight w:val="none"/>
          <w:lang w:eastAsia="zh-CN"/>
        </w:rPr>
        <w:t>4年度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hint="eastAsia" w:ascii="仿宋_GB2312" w:hAnsi="仿宋_GB2312" w:eastAsia="仿宋_GB2312" w:cs="仿宋_GB2312"/>
          <w:b/>
          <w:bCs w:val="0"/>
          <w:kern w:val="0"/>
          <w:sz w:val="36"/>
          <w:szCs w:val="36"/>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sz w:val="36"/>
          <w:szCs w:val="36"/>
        </w:rPr>
        <w:t>目</w:t>
      </w:r>
      <w:r>
        <w:rPr>
          <w:rFonts w:hint="eastAsia" w:ascii="仿宋_GB2312" w:hAnsi="仿宋_GB2312" w:eastAsia="仿宋_GB2312" w:cs="仿宋_GB2312"/>
          <w:b/>
          <w:sz w:val="36"/>
          <w:szCs w:val="36"/>
          <w:lang w:val="en-US" w:eastAsia="zh-CN"/>
        </w:rPr>
        <w:t xml:space="preserve"> </w:t>
      </w:r>
      <w:r>
        <w:rPr>
          <w:rFonts w:hint="eastAsia" w:ascii="仿宋_GB2312" w:hAnsi="仿宋_GB2312" w:eastAsia="仿宋_GB2312" w:cs="仿宋_GB2312"/>
          <w:b/>
          <w:sz w:val="36"/>
          <w:szCs w:val="36"/>
        </w:rPr>
        <w:t>录</w:t>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_Toc11287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_Toc20011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_Toc9893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_Toc25988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_Toc688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_Toc17856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_Toc29956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_Toc25936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_Toc9174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_Toc23792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_Toc10960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_Toc4124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_Toc1058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_Toc19007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_Toc10121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_Toc32313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_Toc30255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_Toc813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_Toc707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_Toc16573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_Toc32589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_Toc3606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二</w:t>
      </w:r>
      <w:r>
        <w:rPr>
          <w:rFonts w:hint="eastAsia" w:ascii="仿宋_GB2312" w:hAnsi="仿宋_GB2312" w:eastAsia="仿宋_GB2312" w:cs="仿宋_GB2312"/>
          <w:bCs/>
          <w:kern w:val="0"/>
          <w:sz w:val="32"/>
          <w:szCs w:val="32"/>
          <w:highlight w:val="none"/>
          <w:lang w:eastAsia="zh-CN"/>
        </w:rPr>
        <w:t>、其他需说明的事项</w:t>
      </w:r>
      <w:r>
        <w:rPr>
          <w:rFonts w:hint="eastAsia" w:ascii="仿宋_GB2312" w:hAnsi="仿宋_GB2312" w:eastAsia="仿宋_GB2312" w:cs="仿宋_GB2312"/>
          <w:sz w:val="32"/>
          <w:szCs w:val="32"/>
          <w:highlight w:val="none"/>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_Toc9851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_Toc25218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w:t>
      </w:r>
      <w:r>
        <w:rPr>
          <w:rFonts w:ascii="仿宋_GB2312" w:eastAsia="仿宋_GB2312"/>
          <w:b/>
          <w:sz w:val="32"/>
          <w:szCs w:val="32"/>
        </w:rPr>
        <w:t>见附</w:t>
      </w:r>
      <w:r>
        <w:rPr>
          <w:rFonts w:hint="eastAsia" w:ascii="仿宋_GB2312" w:eastAsia="仿宋_GB2312"/>
          <w:b/>
          <w:sz w:val="32"/>
          <w:szCs w:val="32"/>
          <w:lang w:val="en-US" w:eastAsia="zh-CN"/>
        </w:rPr>
        <w:t>件1</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_Toc25722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_Toc11095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_Toc25511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_Toc31346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_Toc6578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_Toc13584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_Toc13058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0" w:leftChars="0"/>
        <w:textAlignment w:val="auto"/>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_Toc19637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_GB2312" w:hAnsi="仿宋_GB2312" w:eastAsia="仿宋_GB2312" w:cs="仿宋_GB2312"/>
          <w:szCs w:val="32"/>
          <w:highlight w:val="none"/>
        </w:rPr>
      </w:pPr>
      <w:r>
        <w:rPr>
          <w:rFonts w:hint="eastAsia" w:ascii="仿宋_GB2312" w:hAnsi="仿宋_GB2312" w:eastAsia="仿宋_GB2312" w:cs="仿宋_GB2312"/>
          <w:szCs w:val="32"/>
          <w:highlight w:val="none"/>
        </w:rPr>
        <w:fldChar w:fldCharType="end"/>
      </w: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_GB2312" w:hAnsi="仿宋_GB2312" w:eastAsia="仿宋_GB2312" w:cs="仿宋_GB2312"/>
          <w:szCs w:val="32"/>
          <w:highlight w:val="none"/>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_GB2312" w:hAnsi="仿宋_GB2312" w:eastAsia="仿宋_GB2312" w:cs="仿宋_GB2312"/>
          <w:szCs w:val="32"/>
          <w:highlight w:val="none"/>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_GB2312" w:hAnsi="仿宋_GB2312" w:eastAsia="仿宋_GB2312" w:cs="仿宋_GB2312"/>
          <w:szCs w:val="32"/>
          <w:highlight w:val="none"/>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_GB2312" w:hAnsi="仿宋_GB2312" w:eastAsia="仿宋_GB2312" w:cs="仿宋_GB2312"/>
          <w:szCs w:val="32"/>
          <w:highlight w:val="none"/>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_GB2312" w:hAnsi="仿宋_GB2312" w:eastAsia="仿宋_GB2312" w:cs="仿宋_GB2312"/>
          <w:szCs w:val="32"/>
          <w:highlight w:val="none"/>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_GB2312" w:hAnsi="仿宋_GB2312" w:eastAsia="仿宋_GB2312" w:cs="仿宋_GB2312"/>
          <w:szCs w:val="32"/>
          <w:highlight w:val="none"/>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_GB2312" w:hAnsi="仿宋_GB2312" w:eastAsia="仿宋_GB2312" w:cs="仿宋_GB2312"/>
          <w:szCs w:val="32"/>
          <w:highlight w:val="none"/>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_GB2312" w:hAnsi="仿宋_GB2312" w:eastAsia="仿宋_GB2312" w:cs="仿宋_GB2312"/>
          <w:szCs w:val="32"/>
          <w:highlight w:val="none"/>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_GB2312" w:hAnsi="仿宋_GB2312" w:eastAsia="仿宋_GB2312" w:cs="仿宋_GB2312"/>
          <w:szCs w:val="32"/>
          <w:highlight w:val="none"/>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_GB2312" w:hAnsi="仿宋_GB2312" w:eastAsia="仿宋_GB2312" w:cs="仿宋_GB2312"/>
          <w:szCs w:val="32"/>
          <w:highlight w:val="none"/>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黑体" w:hAnsi="黑体" w:eastAsia="黑体" w:cs="Times New Roman"/>
          <w:kern w:val="2"/>
          <w:sz w:val="32"/>
          <w:szCs w:val="32"/>
          <w:highlight w:val="none"/>
          <w:lang w:eastAsia="zh-CN"/>
        </w:rPr>
      </w:pPr>
      <w:r>
        <w:rPr>
          <w:rFonts w:hint="eastAsia" w:ascii="黑体" w:hAnsi="黑体" w:eastAsia="黑体" w:cs="Times New Roman"/>
          <w:kern w:val="2"/>
          <w:sz w:val="32"/>
          <w:szCs w:val="32"/>
          <w:highlight w:val="none"/>
          <w:lang w:eastAsia="zh-CN"/>
        </w:rPr>
        <w:t>第一部分</w:t>
      </w:r>
      <w:r>
        <w:rPr>
          <w:rFonts w:hint="eastAsia" w:ascii="黑体" w:hAnsi="黑体" w:eastAsia="黑体" w:cs="Times New Roman"/>
          <w:kern w:val="2"/>
          <w:sz w:val="32"/>
          <w:szCs w:val="32"/>
          <w:highlight w:val="none"/>
          <w:lang w:val="en-US" w:eastAsia="zh-CN"/>
        </w:rPr>
        <w:t xml:space="preserve"> </w:t>
      </w:r>
      <w:r>
        <w:rPr>
          <w:rFonts w:hint="eastAsia" w:ascii="黑体" w:hAnsi="黑体" w:eastAsia="黑体" w:cs="Times New Roman"/>
          <w:kern w:val="2"/>
          <w:sz w:val="32"/>
          <w:szCs w:val="32"/>
          <w:highlight w:val="none"/>
          <w:lang w:eastAsia="zh-CN"/>
        </w:rPr>
        <w:t>单位概况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一、主要职能</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eastAsia="zh-CN"/>
        </w:rPr>
        <w:t>新疆画院成立1981年6月，位于新疆乌鲁木齐市沙依巴克区友好北路167号，属于自治区文化和旅游厅下属县处级全额拨款事业单位，是美术、书法、篆刻等艺术创作和研究机构，主要职责为组织开展美术创作、研究及国内外学术交流活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eastAsia="zh-CN"/>
        </w:rPr>
        <w:t>新疆画院2024年度，实有人数48人，其中：在职人员20人，</w:t>
      </w:r>
      <w:r>
        <w:rPr>
          <w:rFonts w:hint="eastAsia" w:ascii="仿宋_GB2312" w:hAnsi="Times New Roman" w:eastAsia="仿宋_GB2312" w:cs="Times New Roman"/>
          <w:kern w:val="2"/>
          <w:sz w:val="32"/>
          <w:szCs w:val="32"/>
          <w:highlight w:val="none"/>
          <w:lang w:val="en-US" w:eastAsia="zh-CN"/>
        </w:rPr>
        <w:t>增加0人</w:t>
      </w:r>
      <w:r>
        <w:rPr>
          <w:rFonts w:hint="eastAsia" w:ascii="仿宋_GB2312" w:hAnsi="Times New Roman" w:eastAsia="仿宋_GB2312" w:cs="Times New Roman"/>
          <w:kern w:val="2"/>
          <w:sz w:val="32"/>
          <w:szCs w:val="32"/>
          <w:highlight w:val="none"/>
          <w:lang w:eastAsia="zh-CN"/>
        </w:rPr>
        <w:t>；离休人员0人，</w:t>
      </w:r>
      <w:r>
        <w:rPr>
          <w:rFonts w:hint="eastAsia" w:ascii="仿宋_GB2312" w:hAnsi="Times New Roman" w:eastAsia="仿宋_GB2312" w:cs="Times New Roman"/>
          <w:kern w:val="2"/>
          <w:sz w:val="32"/>
          <w:szCs w:val="32"/>
          <w:highlight w:val="none"/>
          <w:lang w:val="en-US" w:eastAsia="zh-CN"/>
        </w:rPr>
        <w:t>增加0人</w:t>
      </w:r>
      <w:r>
        <w:rPr>
          <w:rFonts w:hint="eastAsia" w:ascii="仿宋_GB2312" w:hAnsi="Times New Roman" w:eastAsia="仿宋_GB2312" w:cs="Times New Roman"/>
          <w:kern w:val="2"/>
          <w:sz w:val="32"/>
          <w:szCs w:val="32"/>
          <w:highlight w:val="none"/>
          <w:lang w:eastAsia="zh-CN"/>
        </w:rPr>
        <w:t>；退休人员28人，减少1人。</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eastAsia="zh-CN"/>
        </w:rPr>
        <w:t>新疆画院无下属预算单位，下设2个</w:t>
      </w:r>
      <w:r>
        <w:rPr>
          <w:rFonts w:hint="eastAsia" w:ascii="仿宋_GB2312" w:hAnsi="Times New Roman" w:eastAsia="仿宋_GB2312" w:cs="Times New Roman"/>
          <w:kern w:val="2"/>
          <w:sz w:val="32"/>
          <w:szCs w:val="32"/>
          <w:highlight w:val="none"/>
          <w:lang w:val="en-US" w:eastAsia="zh-CN"/>
        </w:rPr>
        <w:t>科</w:t>
      </w:r>
      <w:r>
        <w:rPr>
          <w:rFonts w:hint="eastAsia" w:ascii="仿宋_GB2312" w:hAnsi="Times New Roman" w:eastAsia="仿宋_GB2312" w:cs="Times New Roman"/>
          <w:kern w:val="2"/>
          <w:sz w:val="32"/>
          <w:szCs w:val="32"/>
          <w:highlight w:val="none"/>
          <w:lang w:eastAsia="zh-CN"/>
        </w:rPr>
        <w:t>室，分别是：办公室、艺委会。</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center"/>
        <w:textAlignment w:val="auto"/>
        <w:outlineLvl w:val="0"/>
        <w:rPr>
          <w:rFonts w:ascii="黑体" w:eastAsia="黑体"/>
          <w:sz w:val="32"/>
          <w:szCs w:val="32"/>
        </w:rPr>
      </w:pPr>
      <w:r>
        <w:rPr>
          <w:rFonts w:ascii="黑体" w:eastAsia="黑体"/>
          <w:b w:val="0"/>
          <w:sz w:val="32"/>
          <w:szCs w:val="32"/>
        </w:rPr>
        <w:t>第二部分</w:t>
      </w:r>
      <w:r>
        <w:rPr>
          <w:rFonts w:hint="eastAsia" w:ascii="黑体" w:eastAsia="黑体"/>
          <w:b w:val="0"/>
          <w:sz w:val="32"/>
          <w:szCs w:val="32"/>
          <w:lang w:val="en-US" w:eastAsia="zh-CN"/>
        </w:rPr>
        <w:t xml:space="preserve"> </w:t>
      </w:r>
      <w:r>
        <w:rPr>
          <w:rFonts w:ascii="黑体" w:eastAsia="黑体"/>
          <w:b w:val="0"/>
          <w:sz w:val="32"/>
          <w:szCs w:val="32"/>
        </w:rPr>
        <w:t>部门决算情况说明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hint="eastAsia" w:ascii="仿宋_GB2312" w:hAnsi="Times New Roman" w:eastAsia="仿宋_GB2312" w:cs="Times New Roman"/>
          <w:kern w:val="2"/>
          <w:sz w:val="32"/>
          <w:szCs w:val="32"/>
          <w:highlight w:val="none"/>
          <w:lang w:val="en-US" w:eastAsia="zh-CN"/>
        </w:rPr>
      </w:pPr>
      <w:r>
        <w:rPr>
          <w:rFonts w:ascii="仿宋_GB2312" w:eastAsia="仿宋_GB2312"/>
          <w:b/>
          <w:bCs/>
          <w:sz w:val="32"/>
          <w:szCs w:val="32"/>
        </w:rPr>
        <w:t>2024年度收入总计1,121.60万元，</w:t>
      </w:r>
      <w:r>
        <w:rPr>
          <w:rFonts w:hint="eastAsia" w:ascii="仿宋_GB2312" w:hAnsi="Times New Roman" w:eastAsia="仿宋_GB2312" w:cs="Times New Roman"/>
          <w:kern w:val="2"/>
          <w:sz w:val="32"/>
          <w:szCs w:val="32"/>
          <w:highlight w:val="none"/>
          <w:lang w:val="en-US" w:eastAsia="zh-CN"/>
        </w:rPr>
        <w:t>其中：本年收入合计1,121.60万元，使用非财政拨款结余（含专用结余）0.00万元，年初结转和结余0.00万元。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2024年度支出总计1,121.60万元，</w:t>
      </w:r>
      <w:r>
        <w:rPr>
          <w:rFonts w:ascii="仿宋_GB2312" w:eastAsia="仿宋_GB2312"/>
          <w:b w:val="0"/>
          <w:sz w:val="32"/>
          <w:szCs w:val="32"/>
        </w:rPr>
        <w:t>其中：本年支出合计1,121.59万元，结余分配0.00万元，年末结转和结余0.01万元。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收入支出总体与上年相比，</w:t>
      </w:r>
      <w:r>
        <w:rPr>
          <w:rFonts w:ascii="仿宋_GB2312" w:eastAsia="仿宋_GB2312"/>
          <w:b w:val="0"/>
          <w:sz w:val="32"/>
          <w:szCs w:val="32"/>
        </w:rPr>
        <w:t>增加102.44万元，增长10.05%，主要原因是：</w:t>
      </w:r>
      <w:r>
        <w:rPr>
          <w:rFonts w:hint="eastAsia" w:ascii="仿宋_GB2312" w:eastAsia="仿宋_GB2312"/>
          <w:b w:val="0"/>
          <w:sz w:val="32"/>
          <w:szCs w:val="32"/>
          <w:lang w:val="en-US" w:eastAsia="zh-CN"/>
        </w:rPr>
        <w:t>一是</w:t>
      </w:r>
      <w:r>
        <w:rPr>
          <w:rFonts w:ascii="仿宋_GB2312" w:eastAsia="仿宋_GB2312"/>
          <w:b w:val="0"/>
          <w:sz w:val="32"/>
          <w:szCs w:val="32"/>
        </w:rPr>
        <w:t>工资福利支出调</w:t>
      </w:r>
      <w:r>
        <w:rPr>
          <w:rFonts w:hint="eastAsia" w:ascii="仿宋_GB2312" w:eastAsia="仿宋_GB2312"/>
          <w:b w:val="0"/>
          <w:sz w:val="32"/>
          <w:szCs w:val="32"/>
          <w:lang w:val="en-US" w:eastAsia="zh-CN"/>
        </w:rPr>
        <w:t>增；二是</w:t>
      </w:r>
      <w:r>
        <w:rPr>
          <w:rFonts w:ascii="仿宋_GB2312" w:eastAsia="仿宋_GB2312"/>
          <w:b w:val="0"/>
          <w:sz w:val="32"/>
          <w:szCs w:val="32"/>
        </w:rPr>
        <w:t>追加新疆人才发展基金2024年度第一轮支持资金—天山英才培养计划、2024年自治区文化艺术创作专项扶持资金、2024年自治区彩票公益金支持文化和旅游志愿服务项目、2024年自治区旅游发展专项资金预算（第三批）。</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本年收入1,121.60万元，</w:t>
      </w:r>
      <w:r>
        <w:rPr>
          <w:rFonts w:ascii="仿宋_GB2312" w:eastAsia="仿宋_GB2312"/>
          <w:b w:val="0"/>
          <w:sz w:val="32"/>
          <w:szCs w:val="32"/>
        </w:rPr>
        <w:t>其中：财政拨款收入1,121.58万元,占100.00%；上级补助收入0.00万元,占0.00%；事业收入0.00万元，占0.00%；经营收入0.00万元,占0.00%；附属单位上缴收入0.00万元，占0.00%；其他收入0.02万元，占0.00%。</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本年支出1,121.59万元，</w:t>
      </w:r>
      <w:r>
        <w:rPr>
          <w:rFonts w:ascii="仿宋_GB2312" w:eastAsia="仿宋_GB2312"/>
          <w:b w:val="0"/>
          <w:sz w:val="32"/>
          <w:szCs w:val="32"/>
        </w:rPr>
        <w:t>其中：基本支出539.80万元，占48.13%；项目支出581.79万元，占51.87%；上缴上级支出0.00万元，占0.00%；经营支出0.00万元，占0.00%；对附属单位补助支出0.00万元，占0.00%。</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2024年度财政拨款收入总计1,121.58万元，</w:t>
      </w:r>
      <w:r>
        <w:rPr>
          <w:rFonts w:ascii="仿宋_GB2312" w:eastAsia="仿宋_GB2312"/>
          <w:b w:val="0"/>
          <w:sz w:val="32"/>
          <w:szCs w:val="32"/>
        </w:rPr>
        <w:t>其中：年初财政拨款结转和结余0.00万元，本年财政拨款收入1,121.58万元。</w:t>
      </w:r>
      <w:r>
        <w:rPr>
          <w:rFonts w:ascii="仿宋_GB2312" w:eastAsia="仿宋_GB2312"/>
          <w:b/>
          <w:bCs/>
          <w:sz w:val="32"/>
          <w:szCs w:val="32"/>
        </w:rPr>
        <w:t>财政拨款支出总计1,121.58万元，</w:t>
      </w:r>
      <w:r>
        <w:rPr>
          <w:rFonts w:ascii="仿宋_GB2312" w:eastAsia="仿宋_GB2312"/>
          <w:b w:val="0"/>
          <w:sz w:val="32"/>
          <w:szCs w:val="32"/>
        </w:rPr>
        <w:t>其中：年末财政拨款结转和结余0.00万元，本年财政拨款支出1,121.58万元。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hint="default" w:ascii="仿宋_GB2312" w:eastAsia="仿宋_GB2312"/>
          <w:sz w:val="32"/>
          <w:szCs w:val="32"/>
          <w:highlight w:val="yellow"/>
          <w:lang w:val="en-US" w:eastAsia="zh-CN"/>
        </w:rPr>
      </w:pPr>
      <w:r>
        <w:rPr>
          <w:rFonts w:ascii="仿宋_GB2312" w:eastAsia="仿宋_GB2312"/>
          <w:b/>
          <w:bCs/>
          <w:sz w:val="32"/>
          <w:szCs w:val="32"/>
        </w:rPr>
        <w:t>财政拨款收入支出总体与上年相比，</w:t>
      </w:r>
      <w:r>
        <w:rPr>
          <w:rFonts w:ascii="仿宋_GB2312" w:eastAsia="仿宋_GB2312"/>
          <w:b w:val="0"/>
          <w:sz w:val="32"/>
          <w:szCs w:val="32"/>
        </w:rPr>
        <w:t>增加102.44万元，增长10.05%，</w:t>
      </w:r>
      <w:r>
        <w:rPr>
          <w:rFonts w:ascii="仿宋_GB2312" w:eastAsia="仿宋_GB2312"/>
          <w:b w:val="0"/>
          <w:sz w:val="32"/>
          <w:szCs w:val="32"/>
          <w:highlight w:val="none"/>
        </w:rPr>
        <w:t>主要原因是：</w:t>
      </w:r>
      <w:r>
        <w:rPr>
          <w:rFonts w:hint="eastAsia" w:ascii="仿宋_GB2312" w:eastAsia="仿宋_GB2312"/>
          <w:b w:val="0"/>
          <w:sz w:val="32"/>
          <w:szCs w:val="32"/>
          <w:highlight w:val="none"/>
          <w:lang w:val="en-US" w:eastAsia="zh-CN"/>
        </w:rPr>
        <w:t>一是</w:t>
      </w:r>
      <w:r>
        <w:rPr>
          <w:rFonts w:ascii="仿宋_GB2312" w:eastAsia="仿宋_GB2312"/>
          <w:b w:val="0"/>
          <w:sz w:val="32"/>
          <w:szCs w:val="32"/>
          <w:highlight w:val="none"/>
        </w:rPr>
        <w:t>工资福利支出调</w:t>
      </w:r>
      <w:r>
        <w:rPr>
          <w:rFonts w:hint="eastAsia" w:ascii="仿宋_GB2312" w:eastAsia="仿宋_GB2312"/>
          <w:b w:val="0"/>
          <w:sz w:val="32"/>
          <w:szCs w:val="32"/>
          <w:highlight w:val="none"/>
          <w:lang w:val="en-US" w:eastAsia="zh-CN"/>
        </w:rPr>
        <w:t>增；二是</w:t>
      </w:r>
      <w:r>
        <w:rPr>
          <w:rFonts w:ascii="仿宋_GB2312" w:eastAsia="仿宋_GB2312"/>
          <w:b w:val="0"/>
          <w:sz w:val="32"/>
          <w:szCs w:val="32"/>
          <w:highlight w:val="none"/>
        </w:rPr>
        <w:t>2024年自治区旅游发展专项资金预算（第三批）</w:t>
      </w:r>
      <w:r>
        <w:rPr>
          <w:rFonts w:hint="eastAsia" w:ascii="仿宋_GB2312" w:eastAsia="仿宋_GB2312"/>
          <w:b w:val="0"/>
          <w:sz w:val="32"/>
          <w:szCs w:val="32"/>
          <w:highlight w:val="none"/>
          <w:lang w:val="en-US" w:eastAsia="zh-CN"/>
        </w:rPr>
        <w:t>资金增加</w:t>
      </w:r>
      <w:r>
        <w:rPr>
          <w:rFonts w:ascii="仿宋_GB2312" w:eastAsia="仿宋_GB2312"/>
          <w:b w:val="0"/>
          <w:sz w:val="32"/>
          <w:szCs w:val="32"/>
          <w:highlight w:val="none"/>
        </w:rPr>
        <w:t>。</w:t>
      </w:r>
      <w:r>
        <w:rPr>
          <w:rFonts w:ascii="仿宋_GB2312" w:eastAsia="仿宋_GB2312"/>
          <w:b/>
          <w:bCs/>
          <w:sz w:val="32"/>
          <w:szCs w:val="32"/>
          <w:highlight w:val="none"/>
        </w:rPr>
        <w:t>与年初预算相比，</w:t>
      </w:r>
      <w:r>
        <w:rPr>
          <w:rFonts w:ascii="仿宋_GB2312" w:eastAsia="仿宋_GB2312"/>
          <w:b w:val="0"/>
          <w:sz w:val="32"/>
          <w:szCs w:val="32"/>
          <w:highlight w:val="none"/>
        </w:rPr>
        <w:t>年初预算数789.74万元，决算数1,121.58万元，预决算差异率42.02%，主要原因是：</w:t>
      </w:r>
      <w:r>
        <w:rPr>
          <w:rFonts w:hint="eastAsia" w:ascii="仿宋_GB2312" w:eastAsia="仿宋_GB2312"/>
          <w:b w:val="0"/>
          <w:sz w:val="32"/>
          <w:szCs w:val="32"/>
          <w:highlight w:val="none"/>
          <w:lang w:val="en-US" w:eastAsia="zh-CN"/>
        </w:rPr>
        <w:t>一是</w:t>
      </w:r>
      <w:r>
        <w:rPr>
          <w:rFonts w:ascii="仿宋_GB2312" w:eastAsia="仿宋_GB2312"/>
          <w:b w:val="0"/>
          <w:sz w:val="32"/>
          <w:szCs w:val="32"/>
          <w:highlight w:val="none"/>
        </w:rPr>
        <w:t>工资福利支出调</w:t>
      </w:r>
      <w:r>
        <w:rPr>
          <w:rFonts w:hint="eastAsia" w:ascii="仿宋_GB2312" w:eastAsia="仿宋_GB2312"/>
          <w:b w:val="0"/>
          <w:sz w:val="32"/>
          <w:szCs w:val="32"/>
          <w:highlight w:val="none"/>
          <w:lang w:val="en-US" w:eastAsia="zh-CN"/>
        </w:rPr>
        <w:t>增；二是</w:t>
      </w:r>
      <w:r>
        <w:rPr>
          <w:rFonts w:ascii="仿宋_GB2312" w:eastAsia="仿宋_GB2312"/>
          <w:b w:val="0"/>
          <w:sz w:val="32"/>
          <w:szCs w:val="32"/>
          <w:highlight w:val="none"/>
        </w:rPr>
        <w:t>追加新疆人才发展基金2024年度第一轮支持资金—天山英才培养计划、2024年自治区文化艺术创作专项扶持资金、2024年自治区彩票公益金支持文化和旅游志愿服务项目、2024年自治区旅游发展专项资金预算（第三批）。</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2024年度一般公共预算财政拨款支出1,101.58万元，</w:t>
      </w:r>
      <w:r>
        <w:rPr>
          <w:rFonts w:ascii="仿宋_GB2312" w:eastAsia="仿宋_GB2312"/>
          <w:b w:val="0"/>
          <w:sz w:val="32"/>
          <w:szCs w:val="32"/>
        </w:rPr>
        <w:t>占本年支出合计的98.22%。与上年相比，增加102.44万元，增长10.25%，</w:t>
      </w:r>
      <w:r>
        <w:rPr>
          <w:rFonts w:ascii="仿宋_GB2312" w:eastAsia="仿宋_GB2312"/>
          <w:b w:val="0"/>
          <w:sz w:val="32"/>
          <w:szCs w:val="32"/>
          <w:highlight w:val="none"/>
        </w:rPr>
        <w:t>主要原因是：</w:t>
      </w:r>
      <w:r>
        <w:rPr>
          <w:rFonts w:hint="eastAsia" w:ascii="仿宋_GB2312" w:eastAsia="仿宋_GB2312"/>
          <w:b w:val="0"/>
          <w:sz w:val="32"/>
          <w:szCs w:val="32"/>
          <w:highlight w:val="none"/>
          <w:lang w:val="en-US" w:eastAsia="zh-CN"/>
        </w:rPr>
        <w:t>一是</w:t>
      </w:r>
      <w:r>
        <w:rPr>
          <w:rFonts w:ascii="仿宋_GB2312" w:eastAsia="仿宋_GB2312"/>
          <w:b w:val="0"/>
          <w:sz w:val="32"/>
          <w:szCs w:val="32"/>
          <w:highlight w:val="none"/>
        </w:rPr>
        <w:t>工资福利支出调</w:t>
      </w:r>
      <w:r>
        <w:rPr>
          <w:rFonts w:hint="eastAsia" w:ascii="仿宋_GB2312" w:eastAsia="仿宋_GB2312"/>
          <w:b w:val="0"/>
          <w:sz w:val="32"/>
          <w:szCs w:val="32"/>
          <w:highlight w:val="none"/>
          <w:lang w:val="en-US" w:eastAsia="zh-CN"/>
        </w:rPr>
        <w:t>增；二是</w:t>
      </w:r>
      <w:r>
        <w:rPr>
          <w:rFonts w:ascii="仿宋_GB2312" w:eastAsia="仿宋_GB2312"/>
          <w:b w:val="0"/>
          <w:sz w:val="32"/>
          <w:szCs w:val="32"/>
          <w:highlight w:val="none"/>
        </w:rPr>
        <w:t>2024年自治区旅游发展专项资金预算（第三批）</w:t>
      </w:r>
      <w:r>
        <w:rPr>
          <w:rFonts w:hint="eastAsia" w:ascii="仿宋_GB2312" w:eastAsia="仿宋_GB2312"/>
          <w:b w:val="0"/>
          <w:sz w:val="32"/>
          <w:szCs w:val="32"/>
          <w:highlight w:val="none"/>
          <w:lang w:val="en-US" w:eastAsia="zh-CN"/>
        </w:rPr>
        <w:t>资金增加</w:t>
      </w:r>
      <w:r>
        <w:rPr>
          <w:rFonts w:ascii="仿宋_GB2312" w:eastAsia="仿宋_GB2312"/>
          <w:b w:val="0"/>
          <w:sz w:val="32"/>
          <w:szCs w:val="32"/>
          <w:highlight w:val="none"/>
        </w:rPr>
        <w:t>。</w:t>
      </w:r>
      <w:r>
        <w:rPr>
          <w:rFonts w:ascii="仿宋_GB2312" w:eastAsia="仿宋_GB2312"/>
          <w:b/>
          <w:bCs/>
          <w:sz w:val="32"/>
          <w:szCs w:val="32"/>
        </w:rPr>
        <w:t>与年初预算相比，</w:t>
      </w:r>
      <w:r>
        <w:rPr>
          <w:rFonts w:ascii="仿宋_GB2312" w:eastAsia="仿宋_GB2312"/>
          <w:b w:val="0"/>
          <w:sz w:val="32"/>
          <w:szCs w:val="32"/>
        </w:rPr>
        <w:t>年初预算数789.74万元，决算数1,101.58万元，预决算差异率39.49%，</w:t>
      </w:r>
      <w:r>
        <w:rPr>
          <w:rFonts w:ascii="仿宋_GB2312" w:eastAsia="仿宋_GB2312"/>
          <w:b w:val="0"/>
          <w:sz w:val="32"/>
          <w:szCs w:val="32"/>
          <w:highlight w:val="none"/>
        </w:rPr>
        <w:t>主要原因是：</w:t>
      </w:r>
      <w:r>
        <w:rPr>
          <w:rFonts w:hint="eastAsia" w:ascii="仿宋_GB2312" w:eastAsia="仿宋_GB2312"/>
          <w:b w:val="0"/>
          <w:sz w:val="32"/>
          <w:szCs w:val="32"/>
          <w:highlight w:val="none"/>
          <w:lang w:val="en-US" w:eastAsia="zh-CN"/>
        </w:rPr>
        <w:t>一是</w:t>
      </w:r>
      <w:r>
        <w:rPr>
          <w:rFonts w:ascii="仿宋_GB2312" w:eastAsia="仿宋_GB2312"/>
          <w:b w:val="0"/>
          <w:sz w:val="32"/>
          <w:szCs w:val="32"/>
          <w:highlight w:val="none"/>
        </w:rPr>
        <w:t>工资福利支出调</w:t>
      </w:r>
      <w:r>
        <w:rPr>
          <w:rFonts w:hint="eastAsia" w:ascii="仿宋_GB2312" w:eastAsia="仿宋_GB2312"/>
          <w:b w:val="0"/>
          <w:sz w:val="32"/>
          <w:szCs w:val="32"/>
          <w:highlight w:val="none"/>
          <w:lang w:val="en-US" w:eastAsia="zh-CN"/>
        </w:rPr>
        <w:t>增；二是</w:t>
      </w:r>
      <w:r>
        <w:rPr>
          <w:rFonts w:ascii="仿宋_GB2312" w:eastAsia="仿宋_GB2312"/>
          <w:b w:val="0"/>
          <w:sz w:val="32"/>
          <w:szCs w:val="32"/>
          <w:highlight w:val="none"/>
        </w:rPr>
        <w:t>追加新疆人才发展基金2024年度第一轮支持资金—天山英才培养计划、2024年自治区文化艺术创作专项扶持资金、2024年自治区彩票公益金支持文化和旅游志愿服务项目、2024年自治区旅游发展专项资金预算（第三批）。</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文化旅游体育与传媒支出（类）1,101.58万元，占100.00%。</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（三）一般公共预算财政拨款支出决算具体情况</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文化旅游体育与传媒支出（类）文化和旅游（款）文化创作与保护（项）：支出决算数为50.00万元，比上年决算减少40.00万元，下降44.44%，主要原因是：2024年度减少自治区文艺扶持激励项目。</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文化旅游体育与传媒支出（类）文化和旅游（款）旅游宣传（项）：支出决算数为245.00万元，比上年决算增加245.00万元，增长100.00%，主要原因是：2024年自治区旅游发展专项资金预算（第三批）项目资金比上年增加。</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文化旅游体育与传媒支出（类）文化和旅游（款）其他文化和旅游支出（项）：支出决算数为727.80万元，比上年决算减少83.65万元，下降10.31%，主要原因是：本年度落实</w:t>
      </w:r>
      <w:r>
        <w:rPr>
          <w:rFonts w:hint="eastAsia" w:ascii="仿宋_GB2312" w:eastAsia="仿宋_GB2312"/>
          <w:b w:val="0"/>
          <w:sz w:val="32"/>
          <w:szCs w:val="32"/>
          <w:lang w:val="en-US" w:eastAsia="zh-CN"/>
        </w:rPr>
        <w:t>过紧日子</w:t>
      </w:r>
      <w:r>
        <w:rPr>
          <w:rFonts w:ascii="仿宋_GB2312" w:eastAsia="仿宋_GB2312"/>
          <w:b w:val="0"/>
          <w:sz w:val="32"/>
          <w:szCs w:val="32"/>
        </w:rPr>
        <w:t>要求，压减相关经费支出；2024年度宣传系统重点项目补助经费-文艺志愿者新时代文明中心主题创作活动（克州地区）专项资金较上年减少，2024年度新疆人才发展基金项目资金较上年减少。</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b w:val="0"/>
          <w:sz w:val="32"/>
          <w:szCs w:val="32"/>
        </w:rPr>
      </w:pPr>
      <w:r>
        <w:rPr>
          <w:rFonts w:ascii="仿宋_GB2312" w:eastAsia="仿宋_GB2312"/>
          <w:b w:val="0"/>
          <w:sz w:val="32"/>
          <w:szCs w:val="32"/>
        </w:rPr>
        <w:t>文化旅游体育与传媒支出（类）其他文化旅游体育与传媒支出（款）其他文化旅游体育与传媒支出（项）：支出决算数为78.77万元，比上年决算减少18.92万元，</w:t>
      </w:r>
      <w:r>
        <w:rPr>
          <w:rFonts w:hint="eastAsia" w:ascii="仿宋_GB2312" w:eastAsia="仿宋_GB2312"/>
          <w:b w:val="0"/>
          <w:sz w:val="32"/>
          <w:szCs w:val="32"/>
          <w:lang w:val="en-US" w:eastAsia="zh-CN"/>
        </w:rPr>
        <w:t>下降</w:t>
      </w:r>
      <w:r>
        <w:rPr>
          <w:rFonts w:ascii="仿宋_GB2312" w:eastAsia="仿宋_GB2312"/>
          <w:b w:val="0"/>
          <w:sz w:val="32"/>
          <w:szCs w:val="32"/>
        </w:rPr>
        <w:t>19.37%，主要原因是：中央补助地方公共文化服务体系建设补助资金</w:t>
      </w:r>
      <w:r>
        <w:rPr>
          <w:rFonts w:hint="eastAsia" w:ascii="仿宋_GB2312" w:hAnsi="Times New Roman" w:eastAsia="仿宋_GB2312" w:cs="Times New Roman"/>
          <w:kern w:val="2"/>
          <w:sz w:val="32"/>
          <w:szCs w:val="32"/>
          <w:highlight w:val="none"/>
          <w:lang w:eastAsia="zh-CN"/>
        </w:rPr>
        <w:t>—</w:t>
      </w:r>
      <w:r>
        <w:rPr>
          <w:rFonts w:hint="eastAsia" w:ascii="仿宋_GB2312" w:eastAsia="仿宋_GB2312"/>
          <w:b w:val="0"/>
          <w:sz w:val="32"/>
          <w:szCs w:val="32"/>
          <w:lang w:val="en-US" w:eastAsia="zh-CN"/>
        </w:rPr>
        <w:t>新疆画院修缮公共文化展厅场地项目资金</w:t>
      </w:r>
      <w:r>
        <w:rPr>
          <w:rFonts w:ascii="仿宋_GB2312" w:eastAsia="仿宋_GB2312"/>
          <w:b w:val="0"/>
          <w:sz w:val="32"/>
          <w:szCs w:val="32"/>
        </w:rPr>
        <w:t>较上年减少。</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2024年度一般公共预算财政拨款基本支出539.79万元，其中：</w:t>
      </w:r>
      <w:r>
        <w:rPr>
          <w:rFonts w:ascii="仿宋_GB2312" w:eastAsia="仿宋_GB2312"/>
          <w:b/>
          <w:bCs/>
          <w:sz w:val="32"/>
          <w:szCs w:val="32"/>
        </w:rPr>
        <w:t>人员经费506.69万元，</w:t>
      </w:r>
      <w:r>
        <w:rPr>
          <w:rFonts w:ascii="仿宋_GB2312" w:eastAsia="仿宋_GB2312"/>
          <w:b w:val="0"/>
          <w:bCs w:val="0"/>
          <w:sz w:val="32"/>
          <w:szCs w:val="32"/>
        </w:rPr>
        <w:t>包括：</w:t>
      </w:r>
      <w:r>
        <w:rPr>
          <w:rFonts w:ascii="仿宋_GB2312" w:eastAsia="仿宋_GB2312"/>
          <w:b w:val="0"/>
          <w:sz w:val="32"/>
          <w:szCs w:val="32"/>
        </w:rPr>
        <w:t>基本工资、津贴补贴、奖金、绩效工资、机关事业单位基本养老保险缴费、职业年金缴费、职工基本医疗保险缴费、公务员医疗补助缴费、其他社会保障缴费、住房公积金、其他工资福利支出、退休费、抚恤金和其他对个人和家庭的补助。</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公用经费33.10万元，</w:t>
      </w:r>
      <w:r>
        <w:rPr>
          <w:rFonts w:ascii="仿宋_GB2312" w:eastAsia="仿宋_GB2312"/>
          <w:b w:val="0"/>
          <w:sz w:val="32"/>
          <w:szCs w:val="32"/>
        </w:rPr>
        <w:t>包括：办公费、水费、邮电费、取暖费、差旅费、工会经费、福利费、其他交通费用和其他商品和服务支出。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2024年度政府性基金预算财政拨款收入总计20.00万元，</w:t>
      </w:r>
      <w:r>
        <w:rPr>
          <w:rFonts w:ascii="仿宋_GB2312" w:eastAsia="仿宋_GB2312"/>
          <w:b w:val="0"/>
          <w:sz w:val="32"/>
          <w:szCs w:val="32"/>
        </w:rPr>
        <w:t>其中：年初结转和结余0.00万元，本年收入20.00万元。</w:t>
      </w:r>
      <w:r>
        <w:rPr>
          <w:rFonts w:ascii="仿宋_GB2312" w:eastAsia="仿宋_GB2312"/>
          <w:b/>
          <w:bCs/>
          <w:sz w:val="32"/>
          <w:szCs w:val="32"/>
        </w:rPr>
        <w:t>政府性基金预算财政拨款支出总计20.00万元，</w:t>
      </w:r>
      <w:r>
        <w:rPr>
          <w:rFonts w:ascii="仿宋_GB2312" w:eastAsia="仿宋_GB2312"/>
          <w:b w:val="0"/>
          <w:sz w:val="32"/>
          <w:szCs w:val="32"/>
        </w:rPr>
        <w:t>其中：年末结转和结余0.00万元，本年支出20.00万元。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政府性基金预算财政拨款收入支出总体与上年相比，</w:t>
      </w:r>
      <w:r>
        <w:rPr>
          <w:rFonts w:ascii="仿宋_GB2312" w:eastAsia="仿宋_GB2312"/>
          <w:b w:val="0"/>
          <w:sz w:val="32"/>
          <w:szCs w:val="32"/>
        </w:rPr>
        <w:t>无变化，0.00%，主要原因是：2024年自治区彩票公益金支持文化和旅游志愿服务项目资金与上年相比无变化。</w:t>
      </w:r>
      <w:r>
        <w:rPr>
          <w:rFonts w:ascii="仿宋_GB2312" w:eastAsia="仿宋_GB2312"/>
          <w:b/>
          <w:bCs/>
          <w:sz w:val="32"/>
          <w:szCs w:val="32"/>
        </w:rPr>
        <w:t>与年初预算相比，</w:t>
      </w:r>
      <w:r>
        <w:rPr>
          <w:rFonts w:ascii="仿宋_GB2312" w:eastAsia="仿宋_GB2312"/>
          <w:b w:val="0"/>
          <w:sz w:val="32"/>
          <w:szCs w:val="32"/>
        </w:rPr>
        <w:t>年初预算数0.00万元，决算数20.00万元，预决算差异率100%，主要原因是：本年追加2024年自治区彩票公益金支持文化和旅游志愿服务项目。</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b/>
          <w:bCs/>
          <w:sz w:val="32"/>
          <w:szCs w:val="32"/>
        </w:rPr>
      </w:pPr>
      <w:r>
        <w:rPr>
          <w:rFonts w:ascii="仿宋_GB2312" w:eastAsia="仿宋_GB2312"/>
          <w:b/>
          <w:bCs/>
          <w:sz w:val="32"/>
          <w:szCs w:val="32"/>
        </w:rPr>
        <w:t>政府性基金预算财政拨款支出20.00万元。</w:t>
      </w:r>
    </w:p>
    <w:p>
      <w:pPr>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highlight w:val="none"/>
        </w:rPr>
      </w:pPr>
      <w:r>
        <w:rPr>
          <w:rFonts w:ascii="仿宋_GB2312" w:eastAsia="仿宋_GB2312"/>
          <w:b w:val="0"/>
          <w:sz w:val="32"/>
          <w:szCs w:val="32"/>
          <w:highlight w:val="none"/>
        </w:rPr>
        <w:t>其他支出（类）彩票公益金安排的支出（款）用于文化事业的彩票公益金支出（项）：支出决算数为20.00万元，</w:t>
      </w:r>
      <w:r>
        <w:rPr>
          <w:rFonts w:hint="eastAsia" w:ascii="仿宋_GB2312" w:eastAsia="仿宋_GB2312"/>
          <w:b w:val="0"/>
          <w:sz w:val="32"/>
          <w:szCs w:val="32"/>
          <w:highlight w:val="none"/>
          <w:lang w:val="en-US" w:eastAsia="zh-CN"/>
        </w:rPr>
        <w:t>比上年决算增加0.00万元，</w:t>
      </w:r>
      <w:r>
        <w:rPr>
          <w:rFonts w:hint="eastAsia" w:ascii="仿宋_GB2312" w:hAnsi="仿宋_GB2312" w:eastAsia="仿宋_GB2312" w:cs="仿宋_GB2312"/>
          <w:kern w:val="0"/>
          <w:sz w:val="32"/>
          <w:szCs w:val="32"/>
          <w:highlight w:val="none"/>
        </w:rPr>
        <w:t>增长</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rPr>
        <w:t>%</w:t>
      </w:r>
      <w:r>
        <w:rPr>
          <w:rFonts w:ascii="仿宋_GB2312" w:eastAsia="仿宋_GB2312"/>
          <w:b w:val="0"/>
          <w:sz w:val="32"/>
          <w:szCs w:val="32"/>
          <w:highlight w:val="none"/>
        </w:rPr>
        <w:t>，主要原因是：2024年文化和旅游志愿服务项目资金与上年相比无变化</w:t>
      </w:r>
      <w:r>
        <w:rPr>
          <w:rFonts w:hint="eastAsia" w:ascii="仿宋_GB2312" w:eastAsia="仿宋_GB2312"/>
          <w:b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九、财政拨款</w:t>
      </w:r>
      <w:r>
        <w:rPr>
          <w:rFonts w:hint="eastAsia" w:ascii="黑体" w:eastAsia="黑体"/>
          <w:b w:val="0"/>
          <w:sz w:val="32"/>
          <w:szCs w:val="32"/>
          <w:lang w:eastAsia="zh-CN"/>
        </w:rPr>
        <w:t>“</w:t>
      </w:r>
      <w:r>
        <w:rPr>
          <w:rFonts w:ascii="黑体" w:eastAsia="黑体"/>
          <w:b w:val="0"/>
          <w:sz w:val="32"/>
          <w:szCs w:val="32"/>
        </w:rPr>
        <w:t>三公</w:t>
      </w:r>
      <w:r>
        <w:rPr>
          <w:rFonts w:hint="eastAsia" w:ascii="黑体" w:eastAsia="黑体"/>
          <w:b w:val="0"/>
          <w:sz w:val="32"/>
          <w:szCs w:val="32"/>
          <w:lang w:eastAsia="zh-CN"/>
        </w:rPr>
        <w:t>”</w:t>
      </w:r>
      <w:r>
        <w:rPr>
          <w:rFonts w:ascii="黑体" w:eastAsia="黑体"/>
          <w:b w:val="0"/>
          <w:sz w:val="32"/>
          <w:szCs w:val="32"/>
        </w:rPr>
        <w:t>经费支出决算情况说明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2024年度财政拨款</w:t>
      </w:r>
      <w:r>
        <w:rPr>
          <w:rFonts w:hint="eastAsia" w:ascii="仿宋_GB2312" w:eastAsia="仿宋_GB2312"/>
          <w:b/>
          <w:bCs/>
          <w:sz w:val="32"/>
          <w:szCs w:val="32"/>
          <w:lang w:eastAsia="zh-CN"/>
        </w:rPr>
        <w:t>“</w:t>
      </w:r>
      <w:r>
        <w:rPr>
          <w:rFonts w:ascii="仿宋_GB2312" w:eastAsia="仿宋_GB2312"/>
          <w:b/>
          <w:bCs/>
          <w:sz w:val="32"/>
          <w:szCs w:val="32"/>
        </w:rPr>
        <w:t>三公</w:t>
      </w:r>
      <w:r>
        <w:rPr>
          <w:rFonts w:hint="eastAsia" w:ascii="仿宋_GB2312" w:eastAsia="仿宋_GB2312"/>
          <w:b/>
          <w:bCs/>
          <w:sz w:val="32"/>
          <w:szCs w:val="32"/>
          <w:lang w:eastAsia="zh-CN"/>
        </w:rPr>
        <w:t>”</w:t>
      </w:r>
      <w:r>
        <w:rPr>
          <w:rFonts w:ascii="仿宋_GB2312" w:eastAsia="仿宋_GB2312"/>
          <w:b/>
          <w:bCs/>
          <w:sz w:val="32"/>
          <w:szCs w:val="32"/>
        </w:rPr>
        <w:t>经费支出0.00万元，</w:t>
      </w:r>
      <w:r>
        <w:rPr>
          <w:rFonts w:ascii="仿宋_GB2312" w:eastAsia="仿宋_GB2312"/>
          <w:b w:val="0"/>
          <w:sz w:val="32"/>
          <w:szCs w:val="32"/>
        </w:rPr>
        <w:t>比上年减少1.43万元，下降100%，主要原因是：我单位厉行节俭，本年度减少公务用车运行经费的安排。其中：因公出国（境）费支出0.00万元,占0.00%，</w:t>
      </w:r>
      <w:r>
        <w:rPr>
          <w:rFonts w:hint="eastAsia" w:ascii="仿宋_GB2312" w:eastAsia="仿宋_GB2312"/>
          <w:b w:val="0"/>
          <w:sz w:val="32"/>
          <w:szCs w:val="32"/>
          <w:lang w:val="en-US" w:eastAsia="zh-CN"/>
        </w:rPr>
        <w:t>比上年增加0万元</w:t>
      </w:r>
      <w:r>
        <w:rPr>
          <w:rFonts w:ascii="仿宋_GB2312" w:eastAsia="仿宋_GB2312"/>
          <w:b w:val="0"/>
          <w:sz w:val="32"/>
          <w:szCs w:val="32"/>
        </w:rPr>
        <w:t>，</w:t>
      </w:r>
      <w:r>
        <w:rPr>
          <w:rFonts w:hint="eastAsia" w:ascii="仿宋_GB2312" w:eastAsia="仿宋_GB2312"/>
          <w:b w:val="0"/>
          <w:sz w:val="32"/>
          <w:szCs w:val="32"/>
          <w:lang w:val="en-US" w:eastAsia="zh-CN"/>
        </w:rPr>
        <w:t>增长0%</w:t>
      </w:r>
      <w:r>
        <w:rPr>
          <w:rFonts w:ascii="仿宋_GB2312" w:eastAsia="仿宋_GB2312"/>
          <w:b w:val="0"/>
          <w:sz w:val="32"/>
          <w:szCs w:val="32"/>
        </w:rPr>
        <w:t>，主要原因是：2023年与2024年均未安排因公出国（境）经费；公务用车购置及运行维护费支出0.00万元，占0.00%，比上年减少1.43万元，下降100%，主要原因是：我单位厉行节俭，本年度减少公务用车运行经费的安排；公务接待费支出0.00万元，占0.00%，</w:t>
      </w:r>
      <w:r>
        <w:rPr>
          <w:rFonts w:hint="eastAsia" w:ascii="仿宋_GB2312" w:eastAsia="仿宋_GB2312"/>
          <w:b w:val="0"/>
          <w:sz w:val="32"/>
          <w:szCs w:val="32"/>
          <w:lang w:val="en-US" w:eastAsia="zh-CN"/>
        </w:rPr>
        <w:t>比上年增加0万元</w:t>
      </w:r>
      <w:r>
        <w:rPr>
          <w:rFonts w:ascii="仿宋_GB2312" w:eastAsia="仿宋_GB2312"/>
          <w:b w:val="0"/>
          <w:sz w:val="32"/>
          <w:szCs w:val="32"/>
        </w:rPr>
        <w:t>，</w:t>
      </w:r>
      <w:r>
        <w:rPr>
          <w:rFonts w:hint="eastAsia" w:ascii="仿宋_GB2312" w:eastAsia="仿宋_GB2312"/>
          <w:b w:val="0"/>
          <w:sz w:val="32"/>
          <w:szCs w:val="32"/>
          <w:lang w:val="en-US" w:eastAsia="zh-CN"/>
        </w:rPr>
        <w:t>增长0%</w:t>
      </w:r>
      <w:r>
        <w:rPr>
          <w:rFonts w:ascii="仿宋_GB2312" w:eastAsia="仿宋_GB2312"/>
          <w:b w:val="0"/>
          <w:sz w:val="32"/>
          <w:szCs w:val="32"/>
        </w:rPr>
        <w:t>，主要原因是：</w:t>
      </w:r>
      <w:r>
        <w:rPr>
          <w:rFonts w:hint="eastAsia" w:ascii="仿宋_GB2312" w:eastAsia="仿宋_GB2312"/>
          <w:b w:val="0"/>
          <w:sz w:val="32"/>
          <w:szCs w:val="32"/>
          <w:lang w:val="en-US" w:eastAsia="zh-CN"/>
        </w:rPr>
        <w:t>2023年与2024年</w:t>
      </w:r>
      <w:r>
        <w:rPr>
          <w:rFonts w:ascii="仿宋_GB2312" w:eastAsia="仿宋_GB2312"/>
          <w:b w:val="0"/>
          <w:sz w:val="32"/>
          <w:szCs w:val="32"/>
        </w:rPr>
        <w:t>本单位未安排公务接待费支出。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left"/>
        <w:textAlignment w:val="auto"/>
        <w:rPr>
          <w:rFonts w:ascii="仿宋_GB2312" w:eastAsia="仿宋_GB2312"/>
          <w:b/>
          <w:bCs/>
          <w:sz w:val="32"/>
          <w:szCs w:val="32"/>
        </w:rPr>
      </w:pPr>
      <w:r>
        <w:rPr>
          <w:rFonts w:ascii="仿宋_GB2312" w:eastAsia="仿宋_GB2312"/>
          <w:b/>
          <w:bCs/>
          <w:sz w:val="32"/>
          <w:szCs w:val="32"/>
        </w:rPr>
        <w:t>具体情况如下：</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eastAsia="zh-CN"/>
        </w:rPr>
        <w:t>：</w:t>
      </w:r>
      <w:r>
        <w:rPr>
          <w:rFonts w:ascii="仿宋_GB2312" w:eastAsia="仿宋_GB2312"/>
          <w:b w:val="0"/>
          <w:sz w:val="32"/>
          <w:szCs w:val="32"/>
        </w:rPr>
        <w:t>年初</w:t>
      </w:r>
      <w:r>
        <w:rPr>
          <w:rFonts w:hint="eastAsia" w:ascii="仿宋_GB2312" w:eastAsia="仿宋_GB2312"/>
          <w:b w:val="0"/>
          <w:sz w:val="32"/>
          <w:szCs w:val="32"/>
          <w:lang w:eastAsia="zh-CN"/>
        </w:rPr>
        <w:t>未</w:t>
      </w:r>
      <w:r>
        <w:rPr>
          <w:rFonts w:ascii="仿宋_GB2312" w:eastAsia="仿宋_GB2312"/>
          <w:b w:val="0"/>
          <w:sz w:val="32"/>
          <w:szCs w:val="32"/>
        </w:rPr>
        <w:t>安排因公出国（境）费</w:t>
      </w:r>
      <w:r>
        <w:rPr>
          <w:rFonts w:hint="eastAsia" w:ascii="仿宋_GB2312" w:eastAsia="仿宋_GB2312"/>
          <w:b w:val="0"/>
          <w:sz w:val="32"/>
          <w:szCs w:val="32"/>
          <w:lang w:eastAsia="zh-CN"/>
        </w:rPr>
        <w:t>预算，本年无支出</w:t>
      </w:r>
      <w:r>
        <w:rPr>
          <w:rFonts w:ascii="仿宋_GB2312" w:eastAsia="仿宋_GB2312"/>
          <w:b w:val="0"/>
          <w:sz w:val="32"/>
          <w:szCs w:val="32"/>
        </w:rPr>
        <w:t>。单位全年安排的因公出国（境）团组0个，因公出国（境）0人次。</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公务用车购置及运行维护费0.00万元，其中：公务用车购置费0.00万元，公务用车运行维护费0.00万元。公务用车运行维护费开支内容包括</w:t>
      </w:r>
      <w:r>
        <w:rPr>
          <w:rFonts w:hint="eastAsia" w:ascii="仿宋_GB2312" w:eastAsia="仿宋_GB2312"/>
          <w:b w:val="0"/>
          <w:sz w:val="32"/>
          <w:szCs w:val="32"/>
          <w:lang w:eastAsia="zh-CN"/>
        </w:rPr>
        <w:t>：</w:t>
      </w:r>
      <w:r>
        <w:rPr>
          <w:rFonts w:ascii="仿宋_GB2312" w:eastAsia="仿宋_GB2312"/>
          <w:b w:val="0"/>
          <w:sz w:val="32"/>
          <w:szCs w:val="32"/>
        </w:rPr>
        <w:t>车辆购买保险、维修保养、油料费。公务用车购置数0辆，公务用车保有量0辆。国有资产占用情况中固定资产车辆1辆，与公务用车保有量差异原因是：</w:t>
      </w:r>
      <w:r>
        <w:rPr>
          <w:rFonts w:hint="eastAsia" w:ascii="仿宋_GB2312" w:eastAsia="仿宋_GB2312"/>
          <w:b w:val="0"/>
          <w:sz w:val="32"/>
          <w:szCs w:val="32"/>
          <w:lang w:val="en-US" w:eastAsia="zh-CN"/>
        </w:rPr>
        <w:t>数据填报错误</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eastAsia="zh-CN"/>
        </w:rPr>
        <w:t>：</w:t>
      </w:r>
      <w:r>
        <w:rPr>
          <w:rFonts w:ascii="仿宋_GB2312" w:eastAsia="仿宋_GB2312"/>
          <w:b w:val="0"/>
          <w:sz w:val="32"/>
          <w:szCs w:val="32"/>
        </w:rPr>
        <w:t>本单位年初预算未安排公务接待费支出。单位全年安排的国内公务接待0批次，0人次。</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hint="eastAsia" w:ascii="仿宋_GB2312" w:eastAsia="仿宋_GB2312"/>
          <w:sz w:val="32"/>
          <w:szCs w:val="32"/>
          <w:lang w:eastAsia="zh-CN"/>
        </w:rPr>
      </w:pPr>
      <w:r>
        <w:rPr>
          <w:rFonts w:ascii="仿宋_GB2312" w:eastAsia="仿宋_GB2312"/>
          <w:b/>
          <w:bCs/>
          <w:sz w:val="32"/>
          <w:szCs w:val="32"/>
        </w:rPr>
        <w:t>与全年预算相比，</w:t>
      </w:r>
      <w:r>
        <w:rPr>
          <w:rFonts w:ascii="仿宋_GB2312" w:eastAsia="仿宋_GB2312"/>
          <w:b w:val="0"/>
          <w:sz w:val="32"/>
          <w:szCs w:val="32"/>
        </w:rPr>
        <w:t>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全年预算数0.00万元，决算数0.00万元，预决算差异率0.00%，主要原因是：严格按照财政预算数执行。其中：因公出国（境）费全年预算数0.00万元，决算数0.00万元，预决算差异率0.00%，主要原因是：本单位年初预算未安排因公出国（境）费支出；公务用车购置费全年预算数0.00万元，决算数0.00万元，预决算差异率0.00%，主要原因是：本单位年初预算未安排公务用车购置费支出；公务用车运行费全年预算数0.00万元，决算数0.00万元，预决算差异率0.00%，主要原因是：本单位年初预算未安排公务用车运行费</w:t>
      </w:r>
      <w:r>
        <w:rPr>
          <w:rFonts w:hint="eastAsia" w:ascii="仿宋_GB2312" w:eastAsia="仿宋_GB2312"/>
          <w:b w:val="0"/>
          <w:sz w:val="32"/>
          <w:szCs w:val="32"/>
          <w:lang w:val="en-US" w:eastAsia="zh-CN"/>
        </w:rPr>
        <w:t>支出</w:t>
      </w:r>
      <w:r>
        <w:rPr>
          <w:rFonts w:ascii="仿宋_GB2312" w:eastAsia="仿宋_GB2312"/>
          <w:b w:val="0"/>
          <w:sz w:val="32"/>
          <w:szCs w:val="32"/>
        </w:rPr>
        <w:t>；公务接待费全年预算数0.00万元，决算数0.00万元，预决算差异率0.00%，主要原因是：本单位年初预算未安排公务接待费支出</w:t>
      </w:r>
      <w:r>
        <w:rPr>
          <w:rFonts w:hint="eastAsia" w:ascii="仿宋_GB2312" w:eastAsia="仿宋_GB2312"/>
          <w:b w:val="0"/>
          <w:sz w:val="32"/>
          <w:szCs w:val="32"/>
          <w:lang w:eastAsia="zh-CN"/>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2024年度新疆画院</w:t>
      </w:r>
      <w:bookmarkStart w:id="0" w:name="_GoBack"/>
      <w:bookmarkEnd w:id="0"/>
      <w:r>
        <w:rPr>
          <w:rFonts w:ascii="仿宋_GB2312" w:eastAsia="仿宋_GB2312"/>
          <w:b w:val="0"/>
          <w:sz w:val="32"/>
          <w:szCs w:val="32"/>
        </w:rPr>
        <w:t>公用经费支出33.10万元，比上年增加1.86万元，增长5.95%，主要原因是：</w:t>
      </w:r>
      <w:r>
        <w:rPr>
          <w:rFonts w:hint="eastAsia" w:ascii="仿宋_GB2312" w:eastAsia="仿宋_GB2312"/>
          <w:b w:val="0"/>
          <w:sz w:val="32"/>
          <w:szCs w:val="32"/>
          <w:lang w:val="en-US" w:eastAsia="zh-CN"/>
        </w:rPr>
        <w:t>追加民族团结一家亲结对认亲交通费</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2024年度政府采购支出总额20.89万元，其中：政府采购货物支出19.37万元、政府采购工程支出0.00万元、政府采购服务支出1.52万元。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授予中小企业合同金额20.82万元，占政府采购支出总额的99.66%，其中：授予小微企业合同金额20.82万元，占政府采购支出总额的99.66%。</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截至2024年12月31日，房屋1,115.80平方米，价值74.35万元。车辆1辆，价值27.00万元，其中：副部（省）级及以上领导用车0辆、主要负责人用车0辆、机要通信用车0辆、应急保障用车0辆、执法执勤用车0辆、特种专业技术用车0辆、离退休干部服务用车0辆、其他用车1辆，其他用车主要是：一般公务车</w:t>
      </w:r>
      <w:r>
        <w:rPr>
          <w:rFonts w:hint="eastAsia" w:ascii="仿宋_GB2312" w:eastAsia="仿宋_GB2312"/>
          <w:b w:val="0"/>
          <w:sz w:val="32"/>
          <w:szCs w:val="32"/>
          <w:lang w:eastAsia="zh-CN"/>
        </w:rPr>
        <w:t>。</w:t>
      </w:r>
      <w:r>
        <w:rPr>
          <w:rFonts w:ascii="仿宋_GB2312" w:eastAsia="仿宋_GB2312"/>
          <w:b w:val="0"/>
          <w:sz w:val="32"/>
          <w:szCs w:val="32"/>
        </w:rPr>
        <w:t>单价100万元（含）以上设备（不含车辆）0台（套）。</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根据预算绩效管理要求，本单位2024年度预算绩效评价项目0个，全年预算数0万元，全年执行数0万元</w:t>
      </w:r>
      <w:r>
        <w:rPr>
          <w:rFonts w:hint="eastAsia" w:ascii="仿宋_GB2312" w:eastAsia="仿宋_GB2312"/>
          <w:b w:val="0"/>
          <w:sz w:val="32"/>
          <w:szCs w:val="32"/>
          <w:lang w:eastAsia="zh-CN"/>
        </w:rPr>
        <w:t>。</w:t>
      </w:r>
      <w:r>
        <w:rPr>
          <w:rFonts w:ascii="仿宋_GB2312" w:eastAsia="仿宋_GB2312"/>
          <w:b w:val="0"/>
          <w:sz w:val="32"/>
          <w:szCs w:val="32"/>
        </w:rPr>
        <w:t>预算绩效管理取得的成效：一是通过项目的实施提高了画家的职业素养及业务能力，丰富了基层业余文化生活，提高了基层民众文化素养，提高公众对美术作品鉴赏能力；二是严格项目资金在绩效监控的监管下按进度支出；三是强化支出责任，提高财政资金使用绩效，使资金效益最大化</w:t>
      </w:r>
      <w:r>
        <w:rPr>
          <w:rFonts w:hint="eastAsia" w:ascii="仿宋_GB2312" w:eastAsia="仿宋_GB2312"/>
          <w:b w:val="0"/>
          <w:sz w:val="32"/>
          <w:szCs w:val="32"/>
          <w:lang w:eastAsia="zh-CN"/>
        </w:rPr>
        <w:t>。</w:t>
      </w:r>
      <w:r>
        <w:rPr>
          <w:rFonts w:ascii="仿宋_GB2312" w:eastAsia="仿宋_GB2312"/>
          <w:b w:val="0"/>
          <w:sz w:val="32"/>
          <w:szCs w:val="32"/>
        </w:rPr>
        <w:t>发现的问题及原因：一是人才队伍建设急待加强;二是缺乏绩效过程的监督</w:t>
      </w:r>
      <w:r>
        <w:rPr>
          <w:rFonts w:hint="eastAsia" w:ascii="仿宋_GB2312" w:eastAsia="仿宋_GB2312"/>
          <w:b w:val="0"/>
          <w:sz w:val="32"/>
          <w:szCs w:val="32"/>
          <w:lang w:eastAsia="zh-CN"/>
        </w:rPr>
        <w:t>。</w:t>
      </w:r>
      <w:r>
        <w:rPr>
          <w:rFonts w:ascii="仿宋_GB2312" w:eastAsia="仿宋_GB2312"/>
          <w:b w:val="0"/>
          <w:sz w:val="32"/>
          <w:szCs w:val="32"/>
        </w:rPr>
        <w:t>下一步改进措施：一是进一步优化人才引进机制和培养机制，切实加强专业人才对队伍建设;二是提高职工工作积极性，强把监督关。</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本单位无其他需说明事项。</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sz w:val="32"/>
          <w:szCs w:val="32"/>
        </w:rPr>
      </w:pPr>
      <w:r>
        <w:rPr>
          <w:rFonts w:ascii="黑体" w:eastAsia="黑体"/>
          <w:b w:val="0"/>
          <w:sz w:val="32"/>
          <w:szCs w:val="32"/>
        </w:rPr>
        <w:t>第三部分</w:t>
      </w:r>
      <w:r>
        <w:rPr>
          <w:rFonts w:hint="eastAsia" w:ascii="黑体" w:eastAsia="黑体"/>
          <w:b w:val="0"/>
          <w:sz w:val="32"/>
          <w:szCs w:val="32"/>
          <w:lang w:val="en-US" w:eastAsia="zh-CN"/>
        </w:rPr>
        <w:t xml:space="preserve"> </w:t>
      </w:r>
      <w:r>
        <w:rPr>
          <w:rFonts w:ascii="黑体" w:eastAsia="黑体"/>
          <w:b w:val="0"/>
          <w:sz w:val="32"/>
          <w:szCs w:val="32"/>
        </w:rPr>
        <w:t>专业名词解释</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w:t>
      </w:r>
      <w:r>
        <w:rPr>
          <w:rFonts w:hint="eastAsia" w:ascii="仿宋_GB2312" w:eastAsia="仿宋_GB2312"/>
          <w:b w:val="0"/>
          <w:sz w:val="32"/>
          <w:szCs w:val="32"/>
          <w:lang w:eastAsia="zh-CN"/>
        </w:rPr>
        <w:t>“</w:t>
      </w:r>
      <w:r>
        <w:rPr>
          <w:rFonts w:ascii="仿宋_GB2312" w:eastAsia="仿宋_GB2312"/>
          <w:b w:val="0"/>
          <w:sz w:val="32"/>
          <w:szCs w:val="32"/>
        </w:rPr>
        <w:t>财政拨款收入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事业收入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经营收入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附属单位上缴收入</w:t>
      </w:r>
      <w:r>
        <w:rPr>
          <w:rFonts w:hint="eastAsia" w:ascii="仿宋_GB2312" w:eastAsia="仿宋_GB2312"/>
          <w:b w:val="0"/>
          <w:sz w:val="32"/>
          <w:szCs w:val="32"/>
          <w:lang w:eastAsia="zh-CN"/>
        </w:rPr>
        <w:t>”</w:t>
      </w:r>
      <w:r>
        <w:rPr>
          <w:rFonts w:ascii="仿宋_GB2312" w:eastAsia="仿宋_GB2312"/>
          <w:b w:val="0"/>
          <w:sz w:val="32"/>
          <w:szCs w:val="32"/>
        </w:rPr>
        <w:t>等之外取得的收入。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十三、</w:t>
      </w:r>
      <w:r>
        <w:rPr>
          <w:rFonts w:hint="eastAsia" w:ascii="仿宋_GB2312" w:eastAsia="仿宋_GB2312"/>
          <w:b/>
          <w:sz w:val="32"/>
          <w:szCs w:val="32"/>
          <w:lang w:eastAsia="zh-CN"/>
        </w:rPr>
        <w:t>“</w:t>
      </w:r>
      <w:r>
        <w:rPr>
          <w:rFonts w:ascii="仿宋_GB2312" w:eastAsia="仿宋_GB2312"/>
          <w:b/>
          <w:sz w:val="32"/>
          <w:szCs w:val="32"/>
        </w:rPr>
        <w:t>三公</w:t>
      </w:r>
      <w:r>
        <w:rPr>
          <w:rFonts w:hint="eastAsia" w:ascii="仿宋_GB2312" w:eastAsia="仿宋_GB2312"/>
          <w:b/>
          <w:sz w:val="32"/>
          <w:szCs w:val="32"/>
          <w:lang w:eastAsia="zh-CN"/>
        </w:rPr>
        <w:t>”</w:t>
      </w:r>
      <w:r>
        <w:rPr>
          <w:rFonts w:ascii="仿宋_GB2312" w:eastAsia="仿宋_GB2312"/>
          <w:b/>
          <w:sz w:val="32"/>
          <w:szCs w:val="32"/>
        </w:rPr>
        <w:t>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sz w:val="32"/>
          <w:szCs w:val="32"/>
        </w:rPr>
      </w:pPr>
      <w:r>
        <w:rPr>
          <w:rFonts w:ascii="黑体" w:eastAsia="黑体"/>
          <w:b w:val="0"/>
          <w:sz w:val="32"/>
          <w:szCs w:val="32"/>
        </w:rPr>
        <w:t>第四部分</w:t>
      </w:r>
      <w:r>
        <w:rPr>
          <w:rFonts w:hint="eastAsia" w:ascii="黑体" w:eastAsia="黑体"/>
          <w:b w:val="0"/>
          <w:sz w:val="32"/>
          <w:szCs w:val="32"/>
          <w:lang w:val="en-US" w:eastAsia="zh-CN"/>
        </w:rPr>
        <w:t xml:space="preserve"> </w:t>
      </w:r>
      <w:r>
        <w:rPr>
          <w:rFonts w:ascii="黑体" w:eastAsia="黑体"/>
          <w:b w:val="0"/>
          <w:sz w:val="32"/>
          <w:szCs w:val="32"/>
        </w:rPr>
        <w:t>部门决算报表（见</w:t>
      </w:r>
      <w:r>
        <w:rPr>
          <w:rFonts w:hint="eastAsia" w:ascii="黑体" w:eastAsia="黑体"/>
          <w:b w:val="0"/>
          <w:sz w:val="32"/>
          <w:szCs w:val="32"/>
          <w:lang w:val="en-US" w:eastAsia="zh-CN"/>
        </w:rPr>
        <w:t>附件1</w:t>
      </w:r>
      <w:r>
        <w:rPr>
          <w:rFonts w:ascii="黑体" w:eastAsia="黑体"/>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九、《财政拨款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0000000000000000000"/>
    <w:charset w:val="00"/>
    <w:family w:val="auto"/>
    <w:pitch w:val="default"/>
    <w:sig w:usb0="00000000" w:usb1="00000000" w:usb2="00000000" w:usb3="00000000" w:csb0="00000000" w:csb1="00000000"/>
  </w:font>
  <w:font w:name="Cambria">
    <w:altName w:val="Noto Sans Syriac Eastern"/>
    <w:panose1 w:val="02040503050406030204"/>
    <w:charset w:val="00"/>
    <w:family w:val="auto"/>
    <w:pitch w:val="default"/>
    <w:sig w:usb0="00000000" w:usb1="00000000" w:usb2="02000000"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suff w:val="nothing"/>
      <w:lvlText w:val="%1."/>
      <w:lvlJc w:val="left"/>
      <w:pPr>
        <w:spacing w:before="0" w:beforeLines="0" w:beforeAutospacing="0" w:line="240" w:lineRule="auto"/>
        <w:ind w:firstLine="640" w:firstLineChars="200"/>
      </w:pPr>
    </w:lvl>
    <w:lvl w:ilvl="1" w:tentative="0">
      <w:start w:val="1"/>
      <w:numFmt w:val="decimal"/>
      <w:suff w:val="nothing"/>
      <w:lvlText w:val="%1.%2."/>
      <w:lvlJc w:val="left"/>
      <w:pPr>
        <w:spacing w:before="0" w:beforeLines="0" w:beforeAutospacing="0" w:line="240" w:lineRule="auto"/>
        <w:ind w:firstLine="640" w:firstLineChars="200"/>
      </w:pPr>
    </w:lvl>
    <w:lvl w:ilvl="2" w:tentative="0">
      <w:start w:val="1"/>
      <w:numFmt w:val="decimal"/>
      <w:suff w:val="nothing"/>
      <w:lvlText w:val="%1.%2.%3."/>
      <w:lvlJc w:val="left"/>
      <w:pPr>
        <w:ind w:left="0" w:firstLine="0"/>
      </w:pPr>
    </w:lvl>
  </w:abstractNum>
  <w:abstractNum w:abstractNumId="1">
    <w:nsid w:val="0053208E"/>
    <w:multiLevelType w:val="multilevel"/>
    <w:tmpl w:val="0053208E"/>
    <w:lvl w:ilvl="0" w:tentative="0">
      <w:start w:val="1"/>
      <w:numFmt w:val="decimal"/>
      <w:suff w:val="nothing"/>
      <w:lvlText w:val="%1."/>
      <w:lvlJc w:val="left"/>
      <w:pPr>
        <w:spacing w:before="0" w:beforeLines="0" w:beforeAutospacing="0" w:line="240" w:lineRule="auto"/>
        <w:ind w:firstLine="640" w:firstLineChars="200"/>
      </w:pPr>
    </w:lvl>
    <w:lvl w:ilvl="1" w:tentative="0">
      <w:start w:val="1"/>
      <w:numFmt w:val="decimal"/>
      <w:suff w:val="nothing"/>
      <w:lvlText w:val="%1.%2."/>
      <w:lvlJc w:val="left"/>
      <w:pPr>
        <w:spacing w:before="0" w:beforeLines="0" w:beforeAutospacing="0" w:line="240" w:lineRule="auto"/>
        <w:ind w:firstLine="640" w:firstLineChars="200"/>
      </w:pPr>
    </w:lvl>
    <w:lvl w:ilvl="2" w:tentative="0">
      <w:start w:val="1"/>
      <w:numFmt w:val="decimal"/>
      <w:suff w:val="nothing"/>
      <w:lvlText w:val="%1.%2.%3."/>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D0864"/>
    <w:rsid w:val="012A1C3D"/>
    <w:rsid w:val="0BB35A1E"/>
    <w:rsid w:val="0C725DC8"/>
    <w:rsid w:val="0D4E20BD"/>
    <w:rsid w:val="1377657B"/>
    <w:rsid w:val="15FF50A7"/>
    <w:rsid w:val="169A1CB5"/>
    <w:rsid w:val="221A2596"/>
    <w:rsid w:val="25C60F35"/>
    <w:rsid w:val="28FC354A"/>
    <w:rsid w:val="320B4127"/>
    <w:rsid w:val="322B465C"/>
    <w:rsid w:val="32DA54BB"/>
    <w:rsid w:val="37A44758"/>
    <w:rsid w:val="3B971C69"/>
    <w:rsid w:val="3F907A4E"/>
    <w:rsid w:val="40126A9C"/>
    <w:rsid w:val="40842F0A"/>
    <w:rsid w:val="40A77F66"/>
    <w:rsid w:val="410F6C78"/>
    <w:rsid w:val="426E5F8A"/>
    <w:rsid w:val="451E0AC1"/>
    <w:rsid w:val="4EEC05F8"/>
    <w:rsid w:val="4F7F40CA"/>
    <w:rsid w:val="500D6A78"/>
    <w:rsid w:val="51E7304C"/>
    <w:rsid w:val="52157E66"/>
    <w:rsid w:val="55974E75"/>
    <w:rsid w:val="55EC088D"/>
    <w:rsid w:val="58676F42"/>
    <w:rsid w:val="5ED03216"/>
    <w:rsid w:val="600B28A8"/>
    <w:rsid w:val="661130B8"/>
    <w:rsid w:val="67AF792B"/>
    <w:rsid w:val="695B03FD"/>
    <w:rsid w:val="69B90CDB"/>
    <w:rsid w:val="6D2D20B0"/>
    <w:rsid w:val="6EF5421D"/>
    <w:rsid w:val="6F651AA2"/>
    <w:rsid w:val="72BD5C84"/>
    <w:rsid w:val="76375D4D"/>
    <w:rsid w:val="7AE74F29"/>
    <w:rsid w:val="7E677F06"/>
    <w:rsid w:val="7FDFE5F5"/>
    <w:rsid w:val="EFEBD501"/>
    <w:rsid w:val="FBFF1239"/>
    <w:rsid w:val="FF5F16A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qFormat="1"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21"/>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2"/>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3"/>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4"/>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8">
    <w:name w:val="annotation text"/>
    <w:basedOn w:val="1"/>
    <w:semiHidden/>
    <w:unhideWhenUsed/>
    <w:qFormat/>
    <w:uiPriority w:val="99"/>
    <w:pPr>
      <w:jc w:val="left"/>
    </w:pPr>
  </w:style>
  <w:style w:type="paragraph" w:styleId="9">
    <w:name w:val="toc 3"/>
    <w:basedOn w:val="1"/>
    <w:next w:val="1"/>
    <w:qFormat/>
    <w:uiPriority w:val="0"/>
    <w:pPr>
      <w:ind w:left="840" w:leftChars="400"/>
    </w:pPr>
  </w:style>
  <w:style w:type="paragraph" w:styleId="10">
    <w:name w:val="header"/>
    <w:basedOn w:val="1"/>
    <w:link w:val="20"/>
    <w:unhideWhenUsed/>
    <w:qFormat/>
    <w:uiPriority w:val="99"/>
    <w:pPr>
      <w:tabs>
        <w:tab w:val="center" w:pos="4680"/>
        <w:tab w:val="right" w:pos="9360"/>
      </w:tabs>
    </w:pPr>
  </w:style>
  <w:style w:type="paragraph" w:styleId="11">
    <w:name w:val="toc 1"/>
    <w:basedOn w:val="1"/>
    <w:next w:val="1"/>
    <w:qFormat/>
    <w:uiPriority w:val="0"/>
  </w:style>
  <w:style w:type="paragraph" w:styleId="12">
    <w:name w:val="Subtitle"/>
    <w:basedOn w:val="1"/>
    <w:next w:val="1"/>
    <w:link w:val="25"/>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
    <w:name w:val="toc 2"/>
    <w:basedOn w:val="1"/>
    <w:next w:val="1"/>
    <w:qFormat/>
    <w:uiPriority w:val="0"/>
    <w:pPr>
      <w:ind w:left="420" w:leftChars="200"/>
    </w:pPr>
  </w:style>
  <w:style w:type="paragraph" w:styleId="14">
    <w:name w:val="Title"/>
    <w:basedOn w:val="1"/>
    <w:next w:val="1"/>
    <w:link w:val="26"/>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table" w:styleId="16">
    <w:name w:val="Table Grid"/>
    <w:basedOn w:val="15"/>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8">
    <w:name w:val="Emphasis"/>
    <w:basedOn w:val="17"/>
    <w:qFormat/>
    <w:uiPriority w:val="20"/>
    <w:rPr>
      <w:i/>
      <w:iCs/>
    </w:rPr>
  </w:style>
  <w:style w:type="character" w:styleId="19">
    <w:name w:val="Hyperlink"/>
    <w:basedOn w:val="17"/>
    <w:unhideWhenUsed/>
    <w:qFormat/>
    <w:uiPriority w:val="99"/>
    <w:rPr>
      <w:color w:val="0000FF" w:themeColor="hyperlink"/>
      <w:u w:val="single"/>
      <w14:textFill>
        <w14:solidFill>
          <w14:schemeClr w14:val="hlink"/>
        </w14:solidFill>
      </w14:textFill>
    </w:rPr>
  </w:style>
  <w:style w:type="character" w:customStyle="1" w:styleId="20">
    <w:name w:val="Header Char"/>
    <w:basedOn w:val="17"/>
    <w:link w:val="10"/>
    <w:qFormat/>
    <w:uiPriority w:val="99"/>
  </w:style>
  <w:style w:type="character" w:customStyle="1" w:styleId="21">
    <w:name w:val="Heading 1 Char"/>
    <w:basedOn w:val="17"/>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2">
    <w:name w:val="Heading 2 Char"/>
    <w:basedOn w:val="17"/>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3">
    <w:name w:val="Heading 3 Char"/>
    <w:basedOn w:val="17"/>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4">
    <w:name w:val="Heading 4 Char"/>
    <w:basedOn w:val="17"/>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5">
    <w:name w:val="Subtitle Char"/>
    <w:basedOn w:val="17"/>
    <w:link w:val="1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6">
    <w:name w:val="Title Char"/>
    <w:basedOn w:val="17"/>
    <w:link w:val="14"/>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Pages>
  <Words>1539</Words>
  <Characters>1803</Characters>
  <TotalTime>0</TotalTime>
  <ScaleCrop>false</ScaleCrop>
  <LinksUpToDate>false</LinksUpToDate>
  <CharactersWithSpaces>1811</CharactersWithSpaces>
  <Application>WPS Office_11.8.2.10251_F1E327BC-269C-435d-A152-05C5408002CA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2025-08-19T17:10:00Z</dcterms:created>
  <dc:creator>Administrator</dc:creator>
  <cp:lastModifiedBy>wlt</cp:lastModifiedBy>
  <dcterms:modified xsi:type="dcterms:W3CDTF">2025-08-28T12:19:07Z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71C604EDF6EC41E6A5EB503BF6C05CC7_13</vt:lpwstr>
  </property>
  <property fmtid="{D5CDD505-2E9C-101B-9397-08002B2CF9AE}" pid="4" name="KSOTemplateDocerSaveRecord">
    <vt:lpwstr>eyJoZGlkIjoiMTgyY2Y5Y2UxZjkwY2NiYzg1MTM4ZmQzOTFhYWJhY2IiLCJ1c2VySWQiOiIzMzU4MjUzNDgifQ==</vt:lpwstr>
  </property>
</Properties>
</file>